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Quantum Resistance Migration: A Strategic Analysis of Advantages and Challenges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 Re-evaluating Quantum Resistance Migration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re-presents and elaborates on the critical advantages and significant challenges associated with the migration to quantum-resistant cryptography. The strategic imperative for such a transition is underscored by the looming threat of cryptographically relevant quantum computers (CRQCs) and the widely recognized "Y2Q" problem. Proactive migration is essential to protect long-term data security against this emerging threat.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dilemma facing organizations is the need to balance the imperative of future-proofing their digital infrastructure against the substantial complexities and costs inherent in current migration efforts. This migration represents a necessary investment for future security and compliance, yet it is fraught with technical, financial, and operational hurdles that demand meticulous planning and execution. The analysis presented herein frames quantum resistance migration not merely as a technical upgrade, but as a strategic business imperative with profound risk management implications. This perspective is vital for justifying the significant investment and navigating the intricate trade-offs involved in securing an organization's digital future.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Introduction: Contextualizing the Quantum Resistance Imperative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quantum computing poses an existential threat to current public-key cryptography, which forms the bedrock of modern digital security. The "Y2Q" problem refers to the anticipated point at which a cryptographically relevant quantum computer (CRQC) becomes powerful enough to break widely used encryption algorithms, rendering vast amounts of sensitive, encrypted data vulnerable to decryption. This includes data currently considered secure, as well as communications and transactions occurring in the present that could be harvested and decrypted in the future—a concept known as "harvest now, decrypt later."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this impending threat, migration to Post-Quantum Cryptography (PQC) is not an optional upgrade but a critical, multi-year undertaking. It represents a proactive measure to pre-emptively secure sensitive data and communications against this future, inevitable threat. The exact timeline for the development of a fully functional CRQC remains uncertain. This uncertainty, however, does not diminish the urgency; rather, it necessitates a "prepare now" approach. Organizations must embark on this journey despite the lack of a precise deadline, as the multi-year nature of the migration means that delaying action could lead to catastrophic exposure once CRQCs materialize. The National Institute of Standards and Technology (NIST) is actively engaged in standardizing PQC algorithms, such as CRYSTALS-Kyber, CRYSTALS-Dilithium, and SPHINCS+, providing a foundational framework for this complex migration.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"Y2Q" problem, combined with the uncertain quantum computing timeline, creates a unique strategic dilemma. Organizations face the need for proactive, costly investment before the threat fully materializes. This requires balancing the urgency of preparing for an inevitable future with the risk of premature or misdirected efforts if the quantum threat is further off than anticipated, or conversely, under-preparation if it arrives sooner. This inherent tension highlights that decision-making is not about </w:t>
      </w:r>
      <w:r w:rsidDel="00000000" w:rsidR="00000000" w:rsidRPr="00000000">
        <w:rPr>
          <w:rFonts w:ascii="Google Sans Text" w:cs="Google Sans Text" w:eastAsia="Google Sans Text" w:hAnsi="Google Sans Text"/>
          <w:i w:val="1"/>
          <w:rtl w:val="0"/>
        </w:rPr>
        <w:t xml:space="preserve">if</w:t>
      </w:r>
      <w:r w:rsidDel="00000000" w:rsidR="00000000" w:rsidRPr="00000000">
        <w:rPr>
          <w:rFonts w:ascii="Google Sans Text" w:cs="Google Sans Text" w:eastAsia="Google Sans Text" w:hAnsi="Google Sans Text"/>
          <w:rtl w:val="0"/>
        </w:rPr>
        <w:t xml:space="preserve"> to migrate, but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to optimize the process under conditions of strategic uncertainty. Embracing cryptographic agility becomes a core mitigation strategy in this environment, allowing for flexibility as the threat and standards evolve.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Advantages of Quantum Resistance Migration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Proactively adopting quantum-resistant cryptography offers a compelling array of strategic, security, and operational benefits that extend far beyond mere technical compliance.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Ensuring Long-Term Data Security and Confidentiality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advantage of quantum resistance migration is the assurance of long-term data security against potential quantum computing threats. By transitioning to Post-Quantum Cryptography (PQC), organizations are proactively safeguarding their most critical assets—sensitive data, intellectual property, and communications—against a future, inevitable threat that current cryptographic methods cannot withstand. This foresight is crucial for preventing catastrophic data breaches that could arise once CRQCs become a reality, effectively transforming a future catastrophic risk into a manageable current project. This strategic shift moves an organization from a reactive posture, where it might face devastating consequences from a breach, to one of proactive risk mitigation. It represents an investment in future resilience, preventing potential financial losses, reputational damage, and regulatory non-compliance. This proactive stance demonstrates robust risk management and contributes to building a future-proof security foundation, which is a more sustainable and less disruptive approach in the long run than continually patching vulnerabilities as they emerge.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Achieving Regulatory Compliance and Industry Best Practices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 quantum threat gains broader recognition, governments and industry bodies are increasingly moving towards mandating quantum-safe standards. Early adoption of PQC ensures that organizations remain compliant with both current and evolving regulatory requirements and industry best practices for data protection. This proactive approach helps avoid potential legal penalties, fines, and the significant reputational damage associated with non-compliance. Furthermore, it positions the organization as a leader in security best practices. The evolving nature of these quantum-safe standards means that early movers, while potentially facing some rework as standards solidify, also gain the advantage of being ahead of the curve. Compliance, in this context, is not merely a legal obligation but a strategic enabler for building and maintaining trust with customers, partners, and regulators. Non-compliance can lead to a loss of business opportunities, not just fines. This suggests that organizations should not simply await mandates but actively monitor and engage with standards bodies like NIST to ensure their strategies align with future requirements. Early compliance can become a competitive differentiator, especially in highly regulated industries, signaling a commitment to data integrity and security that surpasses minimum requirements.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Gaining Competitive Advantage and Enhancing Trust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increasingly data-sensitive global economy, a demonstrated commitment to future-proof security can serve as a significant competitive differentiator. Early adopters of quantum-resistant cryptography can gain a distinct advantage by showcasing a superior security posture and fostering greater trust with their customers and partners. Organizations that proactively address the quantum threat can effectively market their enhanced security, attracting security-conscious clients, cultivating stronger partnerships, and solidifying their reputation as a trustworthy entity. This commitment translates directly into tangible business value. This goes beyond a purely technical benefit; it becomes a powerful business development tool. In a landscape where data breaches are common, the ability to credibly claim a "quantum-safe" infrastructure, even if the immediate threat has not fully materialized, can be a potent signal of trust. This can lead to increased customer loyalty, open new business opportunities, and potentially contribute to a higher market valuation. It represents a proactive strategy for brand protection and enhancement. This implies that executive leadership, particularly in marketing and sales, should be involved in understanding and communicating the value proposition of quantum resistance, transforming a technical necessity into a strategic business opportunity.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Mitigating Catastrophic Risks of Inaction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presented as an advantage of migration, this point highlights the severe consequences of inaction. By actively migrating to PQC, organizations directly mitigate the potentially devastating consequences of a quantum attack on their existing cryptographic infrastructure. Failure to migrate poses significant risks, including widespread data breaches, severe reputational damage, substantial financial losses, and regulatory non-compliance. These consequences extend far beyond technical failures, leading to profound business disruptions, legal liabilities, and irreparable harm to brand equity. The cost of inaction in this scenario far outweighs the cost of proactive migration. The substantial financial investment required for migration must be weighed against the potentially far greater financial losses that could result from a successful quantum attack. This makes the investment in PQC a form of strategic insurance against an inevitable future threat, essential for long-term business continuity and viability. For decision-makers, this means framing the PQC migration budget not as an expense, but as a necessary premium for a comprehensive risk management policy that protects the entire enterprise from an existential threat.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Enhancing Cryptographic Agility for Future Adaptability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well-planned quantum resistance migration provides a unique opportunity to embed "cryptographic agility" into an organization's systems. Cryptographic agility refers to the ability to easily swap out or update cryptographic algorithms with minimal disruption. This architectural principle future-proofs the infrastructure not only against quantum threats but also against any future cryptographic breakthroughs, vulnerabilities, or evolving standards. By designing systems with this inherent flexibility, organizations can significantly reduce the cost and complexity of subsequent cryptographic updates, regardless of their origin. Cryptographic agility transcends a mere technical feature for PQC; it becomes a fundamental architectural principle that future-proofs an organization's entire digital infrastructure against unforeseen cryptographic evolution. The lessons learned from the PQC migration regarding the need for agility can be applied broadly to all future cryptographic changes, transforming a one-time migration into a continuous capability for cryptographic management. This approach reduces technical debt and significantly increases overall resilience over time. It implies a fundamental shift in architectural design, where cryptographic modularity becomes a core consideration, positioning the PQC migration as a catalyst for broader cryptographic infrastructure modernization.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3.6. Leveraging Standardized and Vetted Algorithms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ongoing standardization efforts by NIST provide a crucial framework for quantum resistance migration, significantly reducing uncertainty for organizations. NIST has already selected initial PQC algorithms, such as CRYSTALS-Kyber, CRYSTALS-Dilithium, and SPHINCS+, for standardization. By focusing on algorithms that have undergone rigorous public scrutiny and a multi-year selection process, organizations can proceed with greater confidence in the security, robustness, and interoperability of their chosen PQC solutions, rather than relying on unvetted or proprietary alternatives. This standardization process, while still evolving, provides a critical anchor of trust and interoperability. The existence of selected algorithms provides a tangible starting point, mitigating the paralysis of choice that could otherwise hinder progress. NIST's rigorous vetting process lends significant credibility and reduces the risk of investing in algorithms that might later be found insecure or incompatible, thereby reducing technical risk and fostering ecosystem-wide adoption. This suggests that organizations should prioritize NIST-selected algorithms where feasible, while also acknowledging that the migration strategy must account for potential future updates or additions from NIST, further reinforcing the need for cryptographic agility.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Challenges and Risks of Quantum Resistance Migration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compelling advantages, the migration to quantum-resistant cryptography presents a formidable set of challenges and risks that demand careful consideration and strategic planning.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Substantial Financial Investment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of Post-Quantum Cryptography (PQC) is far from a minor upgrade; it necessitates a substantial financial investment. This includes significant capital expenditure on new hardware, software licenses, and the development of new cryptographic modules. Furthermore, it may require the replacement of legacy systems that cannot be easily updated to support new algorithms. This considerable financial burden can act as a major deterrent, particularly for organizations operating with tight budgets or facing numerous competing IT priorities. The "substantial financial investment" is not a one-time cost but a multi-faceted, ongoing commitment. It encompasses not only direct costs like new infrastructure but also indirect costs such as research and development for software integration, potential vendor lock-in for specialized tools, and the hidden costs associated with downtime during upgrades. Given that PQC migration is a multi-year undertaking, it requires sustained investment and a clear return on investment (ROI) justification, often tied directly to the avoidance of catastrophic risks. This necessitates comprehensive financial planning, including a Total Cost of Ownership (TCO) model that accounts for direct, indirect, and opportunity costs, and requires strong executive-level buy-in to secure the necessary budget.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Significant Resource Allocation and Skill Gap</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financial outlay, successful migration demands a significant allocation of both human and technical resources. This includes dedicating IT personnel, security architects, developers, and project managers to the extensive migration effort. A critical challenge lies in the scarcity of personnel possessing specialized cryptographic and quantum-resistant expertise. This often necessitates extensive education and training for existing staff or the costly external hiring of specialized consultants. Such demands can severely strain an organization's operational capacity and significantly delay project timelines. The combination of a need for "significant allocation" and "specialized expertise" points to a severe talent crunch. This goes beyond mere training; it involves attracting and retaining rare skills in a competitive market. A lack of internal expertise can lead to over-reliance on expensive external consultants or slower, more error-prone internal development. This human resource bottleneck could prove to be a more impactful constraint than financial limitations, as money alone cannot instantly acquire the necessary expertise. Consequently, a comprehensive talent strategy is imperative, encompassing the identification of critical roles, assessment of current skill gaps, development of internal training programs, and exploration of partnerships with academic institutions or specialized vendors. The migration timeline might ultimately be dictated more by the availability of human resources than by technical feasibility.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Technical Complexity and Interoperability Issues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IT environments are inherently complex, characterized by diverse systems, applications, and communication protocols. Introducing new cryptographic primitives like PQC algorithms requires extensive integration work, often leading to significant interoperability challenges, particularly with legacy systems that were not designed with cryptographic agility in mind. The scope of implementation is further expanded by the necessity to secure both data in transit (e.g., TLS, VPNs) and data at rest (e.g., encrypted databases, storage) across the entire enterprise. This broad scope significantly increases the complexity of the migration, raising the risk of errors and the introduction of new vulnerabilities. The technical complexity extends beyond simple algorithm replacement. Cryptography is deeply embedded in nearly every layer of the IT stack, meaning that changing algorithms can have cascading effects on system performance, compatibility with third-party services, and even fundamental operational workflows. The challenge is not merely to </w:t>
      </w:r>
      <w:r w:rsidDel="00000000" w:rsidR="00000000" w:rsidRPr="00000000">
        <w:rPr>
          <w:rFonts w:ascii="Google Sans Text" w:cs="Google Sans Text" w:eastAsia="Google Sans Text" w:hAnsi="Google Sans Text"/>
          <w:i w:val="1"/>
          <w:rtl w:val="0"/>
        </w:rPr>
        <w:t xml:space="preserve">implement</w:t>
      </w:r>
      <w:r w:rsidDel="00000000" w:rsidR="00000000" w:rsidRPr="00000000">
        <w:rPr>
          <w:rFonts w:ascii="Google Sans Text" w:cs="Google Sans Text" w:eastAsia="Google Sans Text" w:hAnsi="Google Sans Text"/>
          <w:rtl w:val="0"/>
        </w:rPr>
        <w:t xml:space="preserve"> PQC, but to ensure it </w:t>
      </w:r>
      <w:r w:rsidDel="00000000" w:rsidR="00000000" w:rsidRPr="00000000">
        <w:rPr>
          <w:rFonts w:ascii="Google Sans Text" w:cs="Google Sans Text" w:eastAsia="Google Sans Text" w:hAnsi="Google Sans Text"/>
          <w:i w:val="1"/>
          <w:rtl w:val="0"/>
        </w:rPr>
        <w:t xml:space="preserve">functions seamlessly and securely</w:t>
      </w:r>
      <w:r w:rsidDel="00000000" w:rsidR="00000000" w:rsidRPr="00000000">
        <w:rPr>
          <w:rFonts w:ascii="Google Sans Text" w:cs="Google Sans Text" w:eastAsia="Google Sans Text" w:hAnsi="Google Sans Text"/>
          <w:rtl w:val="0"/>
        </w:rPr>
        <w:t xml:space="preserve"> across a heterogeneous and often poorly documented environment. This implies a critical need for comprehensive cryptographic asset inventory and meticulous dependency mapping. A successful migration therefore demands a holistic architectural review and a phased, iterative approach rather than a disruptive "big bang" deployment. Rigorous testing and validation are paramount to uncover unforeseen interoperability issues before they impact production environments.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Performance Overhead of PQC Algorithms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PQC algorithms are designed to offer future security against quantum attacks, they may introduce a performance cost compared to current classical cryptographic algorithms. Some PQC algorithms may feature larger key sizes, which can increase data transmission overhead and storage requirements. More complex computations inherent in these algorithms can also lead to slower encryption/decryption speeds and higher CPU utilization. These performance impacts could significantly affect latency-sensitive applications, high-throughput systems, and resource-constrained devices, potentially necessitating costly hardware upgrades or extensive architectural redesigns. This performance overhead is not a minor inconvenience; it can create new operational bottlenecks and necessitate significant infrastructure scaling, effectively transforming a security upgrade into a costly infrastructure modernization project. Slower performance could degrade user experience, increase cloud computing costs, or even force premature hardware refreshes. This means the "cost" of PQC extends beyond the upfront implementation to potentially ongoing operational expenses due to increased resource consumption. Detailed performance testing and capacity planning are therefore crucial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widespread deployment. Organizations may also need to strategically choose PQC algorithms based on the specific performance requirements of different applications, rather than adopting a one-size-fits-all approach, adding another layer of complexity to the decision-making process.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Supply Chain Dependencies and Vendor Readiness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major challenge in quantum resistance migration is managing complex supply chain dependencies. Organizations rely heavily on a vast ecosystem of third-party vendors for hardware, software, cloud services, and managed security solutions. The pace of PQC adoption and integration by these external vendors is often beyond an organization's direct control. Delays in vendor readiness can create significant bottlenecks, forcing organizations to either wait for updates, find alternative quantum-ready solutions, or manage complex hybrid environments for extended periods. This introduces additional vulnerabilities and considerable operational complexity. Supply chain dependencies introduce external critical path items and potential single points of failure, shifting control over migration timelines and ultimate success outside the organization's direct influence. Even if internal systems are prepared, reliance on un-updated third-party components (e.g., firewalls, cloud providers, SaaS applications) creates a significant attack surface. This lack of control can lead to forced delays, increased risk exposure, or costly custom workarounds. A proactive vendor engagement strategy is therefore essential, including assessing vendor PQC roadmaps, incorporating PQC requirements into procurement contracts, and prioritizing vendors who demonstrate a clear commitment to quantum readiness. This also highlights the need for a comprehensive supply chain risk management framework specifically tailored for cryptographic dependencies.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4.6. Evolving Standards and Uncertain Quantum Timeline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NIST's PQC standardization process provides valuable guidance, the quantum-safe cryptographic landscape is still maturing. New algorithms may emerge, or existing ones could be refined or even found to be vulnerable, potentially necessitating future updates or significant re-work. This evolving standard, coupled with the uncertain "Y2Q" timeline for the development of a CRQC, creates a profound strategic dilemma. Investing heavily now risks rework or over-investment if standards shift or the threat is further off, while waiting risks being catastrophically unprepared. This dual uncertainty significantly complicates long-term planning and resource allocation. This situation creates a "Goldilocks problem" for investment: acting too early risks wasted effort, while acting too late risks catastrophic failure. This demands a highly adaptable and iterative strategy. Cryptographic agility is not just a technical feature but a core strategic principle to absorb future changes. Migration plans must be inherently flexible and modular. Furthermore, continuous monitoring of quantum computing advancements and NIST's standardization process is crucial, potentially requiring a dedicated "quantum intelligence" function within the organization. This uncertainty also reinforces the value of a hybrid approach as a practical risk mitigation strategy.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4.7. Operational Disruption and Rigorous Testing Requirements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Any significant change to core cryptographic infrastructure carries an inherent risk of operational disruption. The migration process mandates rigorous testing and validation to ensure that new cryptographic systems are correctly implemented and do not introduce new vulnerabilities or operational disruptions. This thorough testing—encompassing performance, compatibility, and security validation—is paramount but also inherently time-consuming and resource-intensive. Inadequate testing can lead to system outages, data corruption, or the introduction of new security flaws, thereby negating the very purpose of the migration and potentially exposing the organization to greater risk. The necessity for "rigorous testing" transforms the migration from a simple deployment exercise into a complex quality assurance and comprehensive risk management project, which can significantly extend timelines and increase resource demands. Testing at this scale, across the entire enterprise for both data in transit and at rest, is non-trivial. It requires dedicated test environments, specialized tools, and substantial human effort. The inherent risk of disruption means that testing phases will be lengthy and iterative, potentially delaying the overall migration timeline and adding to the "resource allocation" challenge. A substantial portion of the migration budget and timeline must be allocated to testing, potentially requiring specialized testing frameworks and automation tools. This also suggests that a phased rollout is not just about managing technical complexity but also about mitigating the operational risk associated with comprehensive validation.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4.8. Management Overhead and Governance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successful quantum resistance migration is not solely a technical project; it represents a significant organizational transformation. It demands strong leadership, the development of clear policy frameworks, and robust governance structures to oversee the multi-year effort. This includes managing complex inter-departmental dependencies and ensuring the consistent application of new standards across the enterprise. The initial phase alone requires a meticulous and comprehensive inventory of all cryptographic assets and a strategic prioritization of migration efforts based on criticality. This inventory process itself is a significant undertaking, especially for large organizations. The organizational and governance challenges can be as significant, if not more so, than the technical ones. A "comprehensive inventory" for a large enterprise is a massive data discovery project that often uncovers unknown dependencies and shadow IT. "Robust governance" implies the need for a dedicated steering committee, clearly defined roles and responsibilities, and a comprehensive change management strategy to ensure that new policies are adopted and enforced across disparate business units. This requires significant organizational buy-in and sustained executive sponsorship. The PQC migration project should be treated as a strategic, enterprise-wide initiative, not merely an IT project. Failure in governance or in conducting a thorough inventory can lead to missed assets, inconsistent implementation, and ultimately, a compromised security posture despite significant investment.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Comparative Analysis: Pros vs. Cons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 to embark on quantum resistance migration involves a careful consideration of its strategic advantages against its inherent challenges. The following table provides a concise, side-by-side comparison to facilitate a clear understanding of these trade-offs for decision-makers.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Quantum Resistance Migration: Strategic Advantages vs. Key Challenges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Advantage (Pro)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Supporting Snippet IDs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Challenge (Con)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Supporting Snippet IDs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Decision-Makers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Security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long-term data security and confidentiality against future quantum attacks, preventing catastrophic breaches.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of operational disruption and new vulnerabilities if rigorous testing is not performed during migration.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Proactive investment in future security must be balanced with meticulous execution to avoid current operational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Compliance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Achieves compliance with evolving regulatory requirements and industry best practices, avoiding penalties and demonstrating leadership.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Quantum-safe standards are still evolving, potentially necessitating future updates or rework.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Compliance is a moving target; a flexible strategy is needed to adapt to future standard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Business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Gains competitive advantage and enhances trust with customers and partners by demonstrating a superior security posture.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Substantial financial investment required for infrastructure, software, and 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business value of enhanced trust and competitive edge must justify significant, ongoing financial commitment.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Mitigates catastrophic risks of inaction, including data breaches, reputational damage, and substantial financial losses.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Uncertain exact timeline for CRQC development creates a dilemma for resource allocation and investment timing.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certainty of future threat (Y2Q) outweighs timeline uncertainty, necessitating action as a strategic insurance policy.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Enhances cryptographic agility, allowing for easier updates and transitions to new algorithms and future-proofs infrastructure.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complexity and interoperability issues, especially with legacy systems, across data in transit and at rest.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Agility is key for adaptability, but integrating new PQC into complex existing environments is a major technical hurdle.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Resources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Leverages standardized and vetted algorithms from NIST, providing a clear and trustworthy implementation path.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Significant resource allocation and a critical skill gap in specialized cryptographic expertise.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standards offer clarity, finding and developing the necessary human capital is a primary constraint.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Operational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for phased transition and risk mitigation through a hybrid approach (classical + PQC).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Supply chain dependencies mean reliance on third-party vendor readiness, which is often beyond direct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readiness is insufficient; external vendor dependencies introduce critical path risks and potential delays.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Governance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an opportunity to establish robust governance and policy frameworks for managing cryptographic assets.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management overhead required for comprehensive inventory and strategic prioritization of cryptographic assets.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governance is crucial for success, but the initial organizational effort to map and prioritize assets is substantial.</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Strategic Implications for Decision-Makers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of the advantages and challenges of quantum resistance migration reveals a complex strategic landscape. Decision-makers must recognize that this is not merely an IT project but a critical enterprise-wide transformation. The imperative to act is clear: the catastrophic risks of inaction, including data breaches, reputational damage, and financial losses, far outweigh the substantial costs of proactive migration. This investment should be viewed as a strategic insurance policy against an inevitable future threat.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uncertainties surrounding the exact timeline for cryptographically relevant quantum computers and the evolving nature of quantum-safe standards necessitate a flexible and adaptable strategy. Organizations cannot afford to wait for absolute certainty, as the multi-year nature of the migration means delays could lead to being unprepared. Therefore, a phased, iterative approach that prioritizes cryptographic agility is paramount. This allows for continuous adaptation to new algorithms and evolving threats, mitigating the risk of sunk costs due to changing standards.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Addressing the technical complexities, particularly interoperability with legacy systems, and managing the performance overhead of PQC algorithms will require significant architectural planning and rigorous testing. Furthermore, the pervasive reliance on third-party vendors means that supply chain dependencies are a critical external factor. Proactive engagement with vendors and a robust supply chain risk management framework for cryptographic components are essential.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Perhaps the most significant non-technical challenge lies in resource allocation and the critical skill gap. The scarcity of specialized cryptographic expertise demands a comprehensive talent strategy, including internal training and strategic hiring. Effective governance and policy frameworks, coupled with a meticulous inventory and prioritization of cryptographic assets, are foundational to navigating this complex transformation. Without strong executive sponsorship and cross-functional collaboration, even well-intentioned technical efforts may falter.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Recommendations and Next Steps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comprehensive analysis of the advantages and challenges, the following recommendations are provided to guide the quantum resistance migration efforts:</w:t>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Establish a Dedicated Quantum Readiness Program:</w:t>
      </w:r>
      <w:r w:rsidDel="00000000" w:rsidR="00000000" w:rsidRPr="00000000">
        <w:rPr>
          <w:rFonts w:ascii="Google Sans Text" w:cs="Google Sans Text" w:eastAsia="Google Sans Text" w:hAnsi="Google Sans Text"/>
          <w:rtl w:val="0"/>
        </w:rPr>
        <w:t xml:space="preserve"> Treat PQC migration as a strategic, enterprise-wide program, not solely an IT project. This program should have executive sponsorship, a dedicated budget, and a cross-functional steering committee to ensure alignment and accountability across all relevant departments.</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Conduct a Comprehensive Cryptographic Inventory and Risk Assessment:</w:t>
      </w:r>
      <w:r w:rsidDel="00000000" w:rsidR="00000000" w:rsidRPr="00000000">
        <w:rPr>
          <w:rFonts w:ascii="Google Sans Text" w:cs="Google Sans Text" w:eastAsia="Google Sans Text" w:hAnsi="Google Sans Text"/>
          <w:rtl w:val="0"/>
        </w:rPr>
        <w:t xml:space="preserve"> Begin with a meticulous inventory of all cryptographic assets, including algorithms, protocols, certificates, and keys, across both data in transit and data at rest. Prioritize migration efforts based on the criticality of the data and systems, as well as the estimated time to compromise. This foundational step is crucial for understanding the full scope of the challenge.</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Cryptographic Agility in Design:</w:t>
      </w:r>
      <w:r w:rsidDel="00000000" w:rsidR="00000000" w:rsidRPr="00000000">
        <w:rPr>
          <w:rFonts w:ascii="Google Sans Text" w:cs="Google Sans Text" w:eastAsia="Google Sans Text" w:hAnsi="Google Sans Text"/>
          <w:rtl w:val="0"/>
        </w:rPr>
        <w:t xml:space="preserve"> Future-proof systems by designing for cryptographic agility, allowing for the seamless swapping of algorithms as standards evolve or new threats emerge. This architectural principle will reduce future migration costs and enhance long-term resilience.</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Engage with Supply Chain Partners Proactively:</w:t>
      </w:r>
      <w:r w:rsidDel="00000000" w:rsidR="00000000" w:rsidRPr="00000000">
        <w:rPr>
          <w:rFonts w:ascii="Google Sans Text" w:cs="Google Sans Text" w:eastAsia="Google Sans Text" w:hAnsi="Google Sans Text"/>
          <w:rtl w:val="0"/>
        </w:rPr>
        <w:t xml:space="preserve"> Initiate discussions with key third-party hardware, software, and cloud service vendors to understand their PQC roadmaps and readiness. Incorporate PQC requirements into procurement contracts and consider vendor readiness as a critical factor in future purchasing decisions. Develop contingency plans for vendors that lag in PQC adoption.</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Invest in Workforce Development and Talent Acquisition:</w:t>
      </w:r>
      <w:r w:rsidDel="00000000" w:rsidR="00000000" w:rsidRPr="00000000">
        <w:rPr>
          <w:rFonts w:ascii="Google Sans Text" w:cs="Google Sans Text" w:eastAsia="Google Sans Text" w:hAnsi="Google Sans Text"/>
          <w:rtl w:val="0"/>
        </w:rPr>
        <w:t xml:space="preserve"> Address the critical skill gap by investing in extensive education and training programs for internal IT and security personnel. For specialized roles, explore strategic hiring or partnerships with external cryptographic experts.</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Adopt a Phased, Iterative Migration Strategy:</w:t>
      </w:r>
      <w:r w:rsidDel="00000000" w:rsidR="00000000" w:rsidRPr="00000000">
        <w:rPr>
          <w:rFonts w:ascii="Google Sans Text" w:cs="Google Sans Text" w:eastAsia="Google Sans Text" w:hAnsi="Google Sans Text"/>
          <w:rtl w:val="0"/>
        </w:rPr>
        <w:t xml:space="preserve"> Implement PQC using a hybrid approach, running classical and quantum-resistant cryptography in parallel where feasible. This allows for a gradual transition, reduces immediate risk, and provides opportunities for rigorous testing and validation in controlled environments before widespread deployment.</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 NIST Standardization and Quantum Computing Advancements:</w:t>
      </w:r>
      <w:r w:rsidDel="00000000" w:rsidR="00000000" w:rsidRPr="00000000">
        <w:rPr>
          <w:rFonts w:ascii="Google Sans Text" w:cs="Google Sans Text" w:eastAsia="Google Sans Text" w:hAnsi="Google Sans Text"/>
          <w:rtl w:val="0"/>
        </w:rPr>
        <w:t xml:space="preserve"> Continuously track NIST's PQC standardization process and monitor global advancements in quantum computing. Maintain flexibility in the migration plan to incorporate new standards or adapt to changes in the threat landscape.</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 a Comprehensive Communication Strategy:</w:t>
      </w:r>
      <w:r w:rsidDel="00000000" w:rsidR="00000000" w:rsidRPr="00000000">
        <w:rPr>
          <w:rFonts w:ascii="Google Sans Text" w:cs="Google Sans Text" w:eastAsia="Google Sans Text" w:hAnsi="Google Sans Text"/>
          <w:rtl w:val="0"/>
        </w:rPr>
        <w:t xml:space="preserve"> Communicate the importance of quantum resistance migration to all stakeholders, from technical teams to executive leadership and external partners. Highlight the benefits of enhanced security and trust while transparently addressing the challenges. This will foster buy-in and ensure consistent progress.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proactively addressing these recommendations, organizations can navigate the complexities of quantum resistance migration, transforming a significant challenge into a strategic advantage that secures their digital future.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